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AC" w:rsidRPr="002E35A9" w:rsidRDefault="00B031AC" w:rsidP="00B031AC">
      <w:pPr>
        <w:pStyle w:val="Ttulo"/>
        <w:spacing w:line="360" w:lineRule="auto"/>
        <w:rPr>
          <w:rFonts w:ascii="Verdana" w:hAnsi="Verdana" w:cs="Arial"/>
          <w:b/>
          <w:bCs/>
          <w:color w:val="0070C0"/>
          <w:sz w:val="18"/>
          <w:szCs w:val="18"/>
        </w:rPr>
      </w:pPr>
      <w:r w:rsidRPr="002E35A9">
        <w:rPr>
          <w:rFonts w:ascii="Verdana" w:hAnsi="Verdana" w:cs="Arial"/>
          <w:b/>
          <w:bCs/>
          <w:color w:val="0070C0"/>
          <w:sz w:val="18"/>
          <w:szCs w:val="18"/>
        </w:rPr>
        <w:t xml:space="preserve">DECISÃO DA COMISSÃO DE PREGÃO SOBRE O </w:t>
      </w:r>
      <w:r w:rsidR="0000559A">
        <w:rPr>
          <w:rFonts w:ascii="Verdana" w:hAnsi="Verdana" w:cs="Arial"/>
          <w:b/>
          <w:bCs/>
          <w:color w:val="0070C0"/>
          <w:sz w:val="18"/>
          <w:szCs w:val="18"/>
        </w:rPr>
        <w:t>PEDIDO DE ESCLARECIMENTO</w:t>
      </w:r>
      <w:bookmarkStart w:id="0" w:name="_GoBack"/>
      <w:bookmarkEnd w:id="0"/>
    </w:p>
    <w:p w:rsidR="000F22A7" w:rsidRPr="002E35A9" w:rsidRDefault="000F22A7" w:rsidP="009D335F">
      <w:pPr>
        <w:pStyle w:val="Ttulo"/>
        <w:spacing w:line="360" w:lineRule="auto"/>
        <w:rPr>
          <w:rFonts w:ascii="Verdana" w:hAnsi="Verdana" w:cs="Arial"/>
          <w:b/>
          <w:bCs/>
          <w:color w:val="0070C0"/>
          <w:sz w:val="18"/>
          <w:szCs w:val="18"/>
        </w:rPr>
      </w:pPr>
      <w:r w:rsidRPr="002E35A9">
        <w:rPr>
          <w:rFonts w:ascii="Verdana" w:hAnsi="Verdana" w:cs="Arial"/>
          <w:b/>
          <w:bCs/>
          <w:color w:val="0070C0"/>
          <w:sz w:val="18"/>
          <w:szCs w:val="18"/>
        </w:rPr>
        <w:t xml:space="preserve">PROCESSO LICITATÓRIO N.º </w:t>
      </w:r>
      <w:r w:rsidR="00D63237" w:rsidRPr="002E35A9">
        <w:rPr>
          <w:rFonts w:ascii="Verdana" w:hAnsi="Verdana" w:cs="Arial"/>
          <w:b/>
          <w:bCs/>
          <w:color w:val="0070C0"/>
          <w:sz w:val="18"/>
          <w:szCs w:val="18"/>
        </w:rPr>
        <w:t>090</w:t>
      </w:r>
      <w:r w:rsidR="00F40B2D" w:rsidRPr="002E35A9">
        <w:rPr>
          <w:rFonts w:ascii="Verdana" w:hAnsi="Verdana" w:cs="Arial"/>
          <w:b/>
          <w:bCs/>
          <w:color w:val="0070C0"/>
          <w:sz w:val="18"/>
          <w:szCs w:val="18"/>
        </w:rPr>
        <w:t>/201</w:t>
      </w:r>
      <w:r w:rsidR="00F213EF" w:rsidRPr="002E35A9">
        <w:rPr>
          <w:rFonts w:ascii="Verdana" w:hAnsi="Verdana" w:cs="Arial"/>
          <w:b/>
          <w:bCs/>
          <w:color w:val="0070C0"/>
          <w:sz w:val="18"/>
          <w:szCs w:val="18"/>
        </w:rPr>
        <w:t>9</w:t>
      </w:r>
    </w:p>
    <w:p w:rsidR="0030229C" w:rsidRPr="002E35A9" w:rsidRDefault="000F22A7" w:rsidP="0030229C">
      <w:pPr>
        <w:pStyle w:val="Ttulo"/>
        <w:spacing w:line="360" w:lineRule="auto"/>
        <w:rPr>
          <w:rFonts w:ascii="Verdana" w:hAnsi="Verdana" w:cs="Arial"/>
          <w:b/>
          <w:bCs/>
          <w:color w:val="0070C0"/>
          <w:sz w:val="18"/>
          <w:szCs w:val="18"/>
        </w:rPr>
      </w:pPr>
      <w:r w:rsidRPr="002E35A9">
        <w:rPr>
          <w:rFonts w:ascii="Verdana" w:hAnsi="Verdana" w:cs="Arial"/>
          <w:b/>
          <w:bCs/>
          <w:color w:val="0070C0"/>
          <w:sz w:val="18"/>
          <w:szCs w:val="18"/>
        </w:rPr>
        <w:t xml:space="preserve">PREGÃO </w:t>
      </w:r>
      <w:r w:rsidR="009C4E57" w:rsidRPr="002E35A9">
        <w:rPr>
          <w:rFonts w:ascii="Verdana" w:hAnsi="Verdana" w:cs="Arial"/>
          <w:b/>
          <w:bCs/>
          <w:color w:val="0070C0"/>
          <w:sz w:val="18"/>
          <w:szCs w:val="18"/>
        </w:rPr>
        <w:t>ELETRÔNICO</w:t>
      </w:r>
      <w:r w:rsidRPr="002E35A9">
        <w:rPr>
          <w:rFonts w:ascii="Verdana" w:hAnsi="Verdana" w:cs="Arial"/>
          <w:b/>
          <w:bCs/>
          <w:color w:val="0070C0"/>
          <w:sz w:val="18"/>
          <w:szCs w:val="18"/>
        </w:rPr>
        <w:t xml:space="preserve"> N.º </w:t>
      </w:r>
      <w:r w:rsidR="009C4E57" w:rsidRPr="002E35A9">
        <w:rPr>
          <w:rFonts w:ascii="Verdana" w:hAnsi="Verdana" w:cs="Arial"/>
          <w:b/>
          <w:bCs/>
          <w:color w:val="0070C0"/>
          <w:sz w:val="18"/>
          <w:szCs w:val="18"/>
        </w:rPr>
        <w:t>0</w:t>
      </w:r>
      <w:r w:rsidR="00D63237" w:rsidRPr="002E35A9">
        <w:rPr>
          <w:rFonts w:ascii="Verdana" w:hAnsi="Verdana" w:cs="Arial"/>
          <w:b/>
          <w:bCs/>
          <w:color w:val="0070C0"/>
          <w:sz w:val="18"/>
          <w:szCs w:val="18"/>
        </w:rPr>
        <w:t>39</w:t>
      </w:r>
      <w:r w:rsidR="00F40B2D" w:rsidRPr="002E35A9">
        <w:rPr>
          <w:rFonts w:ascii="Verdana" w:hAnsi="Verdana" w:cs="Arial"/>
          <w:b/>
          <w:bCs/>
          <w:color w:val="0070C0"/>
          <w:sz w:val="18"/>
          <w:szCs w:val="18"/>
        </w:rPr>
        <w:t>/201</w:t>
      </w:r>
      <w:r w:rsidR="00F213EF" w:rsidRPr="002E35A9">
        <w:rPr>
          <w:rFonts w:ascii="Verdana" w:hAnsi="Verdana" w:cs="Arial"/>
          <w:b/>
          <w:bCs/>
          <w:color w:val="0070C0"/>
          <w:sz w:val="18"/>
          <w:szCs w:val="18"/>
        </w:rPr>
        <w:t>9</w:t>
      </w:r>
    </w:p>
    <w:p w:rsidR="004A5C86" w:rsidRPr="002E35A9" w:rsidRDefault="004A5C86" w:rsidP="001B00AC">
      <w:pPr>
        <w:jc w:val="both"/>
        <w:rPr>
          <w:rFonts w:ascii="Verdana" w:hAnsi="Verdana" w:cs="Arial"/>
          <w:b/>
          <w:bCs/>
          <w:color w:val="0070C0"/>
          <w:sz w:val="18"/>
          <w:szCs w:val="18"/>
        </w:rPr>
      </w:pPr>
    </w:p>
    <w:p w:rsidR="00105201" w:rsidRPr="002E35A9" w:rsidRDefault="00105201" w:rsidP="005F060E">
      <w:pPr>
        <w:spacing w:line="360" w:lineRule="auto"/>
        <w:jc w:val="both"/>
        <w:rPr>
          <w:rFonts w:ascii="Verdana" w:hAnsi="Verdana" w:cs="Arial"/>
          <w:b/>
          <w:bCs/>
          <w:color w:val="0070C0"/>
          <w:sz w:val="18"/>
          <w:szCs w:val="18"/>
        </w:rPr>
      </w:pPr>
      <w:r w:rsidRPr="002E35A9">
        <w:rPr>
          <w:rFonts w:ascii="Verdana" w:hAnsi="Verdana" w:cs="Arial"/>
          <w:b/>
          <w:bCs/>
          <w:color w:val="0070C0"/>
          <w:sz w:val="18"/>
          <w:szCs w:val="18"/>
        </w:rPr>
        <w:t>PRELIMINARES</w:t>
      </w:r>
      <w:r w:rsidR="000F22A7" w:rsidRPr="002E35A9">
        <w:rPr>
          <w:rFonts w:ascii="Verdana" w:hAnsi="Verdana" w:cs="Arial"/>
          <w:b/>
          <w:bCs/>
          <w:color w:val="0070C0"/>
          <w:sz w:val="18"/>
          <w:szCs w:val="18"/>
        </w:rPr>
        <w:tab/>
      </w:r>
    </w:p>
    <w:p w:rsidR="000F22A7" w:rsidRPr="002E35A9" w:rsidRDefault="000F22A7" w:rsidP="00A951E4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2E35A9">
        <w:rPr>
          <w:rFonts w:ascii="Verdana" w:hAnsi="Verdana" w:cs="Arial"/>
          <w:color w:val="0070C0"/>
          <w:sz w:val="18"/>
          <w:szCs w:val="18"/>
        </w:rPr>
        <w:t xml:space="preserve">A Comissão Especial de Pregão, nomeada pela Resolução n.º </w:t>
      </w:r>
      <w:r w:rsidR="009C4E57" w:rsidRPr="002E35A9">
        <w:rPr>
          <w:rFonts w:ascii="Verdana" w:hAnsi="Verdana" w:cs="Arial"/>
          <w:color w:val="0070C0"/>
          <w:sz w:val="18"/>
          <w:szCs w:val="18"/>
        </w:rPr>
        <w:t>0</w:t>
      </w:r>
      <w:r w:rsidR="00F213EF" w:rsidRPr="002E35A9">
        <w:rPr>
          <w:rFonts w:ascii="Verdana" w:hAnsi="Verdana" w:cs="Arial"/>
          <w:color w:val="0070C0"/>
          <w:sz w:val="18"/>
          <w:szCs w:val="18"/>
        </w:rPr>
        <w:t>75</w:t>
      </w:r>
      <w:r w:rsidR="009C4E57" w:rsidRPr="002E35A9">
        <w:rPr>
          <w:rFonts w:ascii="Verdana" w:hAnsi="Verdana" w:cs="Arial"/>
          <w:color w:val="0070C0"/>
          <w:sz w:val="18"/>
          <w:szCs w:val="18"/>
        </w:rPr>
        <w:t>/201</w:t>
      </w:r>
      <w:r w:rsidR="00F213EF" w:rsidRPr="002E35A9">
        <w:rPr>
          <w:rFonts w:ascii="Verdana" w:hAnsi="Verdana" w:cs="Arial"/>
          <w:color w:val="0070C0"/>
          <w:sz w:val="18"/>
          <w:szCs w:val="18"/>
        </w:rPr>
        <w:t>9</w:t>
      </w:r>
      <w:r w:rsidRPr="002E35A9">
        <w:rPr>
          <w:rFonts w:ascii="Verdana" w:hAnsi="Verdana" w:cs="Arial"/>
          <w:color w:val="0070C0"/>
          <w:sz w:val="18"/>
          <w:szCs w:val="18"/>
        </w:rPr>
        <w:t xml:space="preserve"> comunica ao</w:t>
      </w:r>
      <w:r w:rsidR="006E4F52" w:rsidRPr="002E35A9">
        <w:rPr>
          <w:rFonts w:ascii="Verdana" w:hAnsi="Verdana" w:cs="Arial"/>
          <w:color w:val="0070C0"/>
          <w:sz w:val="18"/>
          <w:szCs w:val="18"/>
        </w:rPr>
        <w:t>s</w:t>
      </w:r>
      <w:r w:rsidRPr="002E35A9">
        <w:rPr>
          <w:rFonts w:ascii="Verdana" w:hAnsi="Verdana" w:cs="Arial"/>
          <w:color w:val="0070C0"/>
          <w:sz w:val="18"/>
          <w:szCs w:val="18"/>
        </w:rPr>
        <w:t xml:space="preserve"> interessados que quanto </w:t>
      </w:r>
      <w:r w:rsidR="004949D2" w:rsidRPr="002E35A9">
        <w:rPr>
          <w:rFonts w:ascii="Verdana" w:hAnsi="Verdana" w:cs="Arial"/>
          <w:color w:val="0070C0"/>
          <w:sz w:val="18"/>
          <w:szCs w:val="18"/>
        </w:rPr>
        <w:t xml:space="preserve">ao </w:t>
      </w:r>
      <w:r w:rsidR="00E62F19">
        <w:rPr>
          <w:rFonts w:ascii="Verdana" w:hAnsi="Verdana" w:cs="Arial"/>
          <w:color w:val="0070C0"/>
          <w:sz w:val="18"/>
          <w:szCs w:val="18"/>
        </w:rPr>
        <w:t>pedido de esclarecimento</w:t>
      </w:r>
      <w:r w:rsidR="005F060E">
        <w:rPr>
          <w:rFonts w:ascii="Verdana" w:hAnsi="Verdana" w:cs="Arial"/>
          <w:color w:val="0070C0"/>
          <w:sz w:val="18"/>
          <w:szCs w:val="18"/>
        </w:rPr>
        <w:t xml:space="preserve"> solicitado</w:t>
      </w:r>
      <w:r w:rsidR="004949D2" w:rsidRPr="002E35A9">
        <w:rPr>
          <w:rFonts w:ascii="Verdana" w:hAnsi="Verdana" w:cs="Arial"/>
          <w:color w:val="0070C0"/>
          <w:sz w:val="18"/>
          <w:szCs w:val="18"/>
        </w:rPr>
        <w:t xml:space="preserve"> </w:t>
      </w:r>
      <w:r w:rsidRPr="002E35A9">
        <w:rPr>
          <w:rFonts w:ascii="Verdana" w:hAnsi="Verdana" w:cs="Arial"/>
          <w:color w:val="0070C0"/>
          <w:sz w:val="18"/>
          <w:szCs w:val="18"/>
        </w:rPr>
        <w:t>pela</w:t>
      </w:r>
      <w:r w:rsidR="003E7D90" w:rsidRPr="002E35A9">
        <w:rPr>
          <w:rFonts w:ascii="Verdana" w:hAnsi="Verdana" w:cs="Arial"/>
          <w:color w:val="0070C0"/>
          <w:sz w:val="18"/>
          <w:szCs w:val="18"/>
        </w:rPr>
        <w:t xml:space="preserve"> </w:t>
      </w:r>
      <w:r w:rsidR="00097F67" w:rsidRPr="002E35A9">
        <w:rPr>
          <w:rFonts w:ascii="Verdana" w:hAnsi="Verdana" w:cs="Arial"/>
          <w:color w:val="0070C0"/>
          <w:sz w:val="18"/>
          <w:szCs w:val="18"/>
        </w:rPr>
        <w:t xml:space="preserve">empresa </w:t>
      </w:r>
      <w:r w:rsidR="00E62F19">
        <w:rPr>
          <w:rFonts w:ascii="Verdana" w:hAnsi="Verdana" w:cs="Arial"/>
          <w:color w:val="0070C0"/>
          <w:sz w:val="18"/>
          <w:szCs w:val="18"/>
        </w:rPr>
        <w:t>LONDRICIR COMERCIO DE MATERIAIS HOSPITALAR LTDA.</w:t>
      </w:r>
      <w:r w:rsidR="008F1A27" w:rsidRPr="002E35A9">
        <w:rPr>
          <w:rFonts w:ascii="Verdana" w:hAnsi="Verdana" w:cs="Arial"/>
          <w:color w:val="0070C0"/>
          <w:sz w:val="18"/>
          <w:szCs w:val="18"/>
        </w:rPr>
        <w:t>,</w:t>
      </w:r>
      <w:r w:rsidR="00126014" w:rsidRPr="002E35A9">
        <w:rPr>
          <w:rFonts w:ascii="Verdana" w:hAnsi="Verdana" w:cs="Arial"/>
          <w:color w:val="0070C0"/>
          <w:sz w:val="18"/>
          <w:szCs w:val="18"/>
        </w:rPr>
        <w:t xml:space="preserve"> </w:t>
      </w:r>
      <w:r w:rsidR="004949D2" w:rsidRPr="002E35A9">
        <w:rPr>
          <w:rFonts w:ascii="Verdana" w:hAnsi="Verdana" w:cs="Arial"/>
          <w:b/>
          <w:bCs/>
          <w:color w:val="0070C0"/>
          <w:sz w:val="18"/>
          <w:szCs w:val="18"/>
          <w:u w:val="single"/>
        </w:rPr>
        <w:t>DECIDE</w:t>
      </w:r>
      <w:r w:rsidRPr="002E35A9">
        <w:rPr>
          <w:rFonts w:ascii="Verdana" w:hAnsi="Verdana" w:cs="Arial"/>
          <w:b/>
          <w:bCs/>
          <w:color w:val="0070C0"/>
          <w:sz w:val="18"/>
          <w:szCs w:val="18"/>
          <w:u w:val="single"/>
        </w:rPr>
        <w:t>:</w:t>
      </w:r>
    </w:p>
    <w:p w:rsidR="00A51DEC" w:rsidRPr="002E35A9" w:rsidRDefault="00A51DEC" w:rsidP="00EA357D">
      <w:pPr>
        <w:spacing w:line="360" w:lineRule="auto"/>
        <w:ind w:firstLine="993"/>
        <w:jc w:val="both"/>
        <w:rPr>
          <w:rFonts w:ascii="Verdana" w:hAnsi="Verdana" w:cs="Arial"/>
          <w:sz w:val="18"/>
          <w:szCs w:val="18"/>
        </w:rPr>
      </w:pPr>
    </w:p>
    <w:p w:rsidR="00E62F19" w:rsidRDefault="00A51DEC" w:rsidP="005F060E">
      <w:pPr>
        <w:spacing w:after="120" w:line="360" w:lineRule="auto"/>
        <w:ind w:right="-284"/>
        <w:jc w:val="both"/>
        <w:rPr>
          <w:rFonts w:ascii="Verdana" w:hAnsi="Verdana" w:cs="Arial"/>
          <w:b/>
          <w:color w:val="0070C0"/>
          <w:sz w:val="18"/>
          <w:szCs w:val="18"/>
        </w:rPr>
      </w:pPr>
      <w:r w:rsidRPr="002E35A9">
        <w:rPr>
          <w:rFonts w:ascii="Verdana" w:hAnsi="Verdana" w:cs="Arial"/>
          <w:b/>
          <w:color w:val="0070C0"/>
          <w:sz w:val="18"/>
          <w:szCs w:val="18"/>
        </w:rPr>
        <w:t xml:space="preserve">RAZÕES </w:t>
      </w:r>
      <w:r w:rsidR="00E62F19">
        <w:rPr>
          <w:rFonts w:ascii="Verdana" w:hAnsi="Verdana" w:cs="Arial"/>
          <w:b/>
          <w:color w:val="0070C0"/>
          <w:sz w:val="18"/>
          <w:szCs w:val="18"/>
        </w:rPr>
        <w:t xml:space="preserve">DO PEDIDO DE ESCLARECIMENTO </w:t>
      </w:r>
    </w:p>
    <w:p w:rsidR="004355DF" w:rsidRPr="00A951E4" w:rsidRDefault="004355DF" w:rsidP="00A951E4">
      <w:pPr>
        <w:spacing w:after="120" w:line="360" w:lineRule="auto"/>
        <w:ind w:right="-284"/>
        <w:jc w:val="both"/>
        <w:rPr>
          <w:rFonts w:ascii="Verdana" w:hAnsi="Verdana" w:cs="Arial"/>
          <w:color w:val="0070C0"/>
          <w:sz w:val="18"/>
          <w:szCs w:val="18"/>
        </w:rPr>
      </w:pPr>
      <w:r w:rsidRPr="00A951E4">
        <w:rPr>
          <w:rFonts w:ascii="Verdana" w:hAnsi="Verdana" w:cs="Arial"/>
          <w:b/>
          <w:color w:val="0070C0"/>
          <w:sz w:val="18"/>
          <w:szCs w:val="18"/>
        </w:rPr>
        <w:t xml:space="preserve">ITENS </w:t>
      </w:r>
      <w:r w:rsidR="00E62F19" w:rsidRPr="00A951E4">
        <w:rPr>
          <w:rFonts w:ascii="Verdana" w:hAnsi="Verdana" w:cs="Arial"/>
          <w:b/>
          <w:color w:val="0070C0"/>
          <w:sz w:val="18"/>
          <w:szCs w:val="18"/>
        </w:rPr>
        <w:t xml:space="preserve">03 E 108 – </w:t>
      </w:r>
      <w:r w:rsidR="00E62F19" w:rsidRPr="00A951E4">
        <w:rPr>
          <w:rFonts w:ascii="Verdana" w:hAnsi="Verdana" w:cs="Arial"/>
          <w:color w:val="0070C0"/>
          <w:sz w:val="18"/>
          <w:szCs w:val="18"/>
        </w:rPr>
        <w:t xml:space="preserve">“Suplemento alimentar em pó para crianças a partir de 1 ano, para uso oral ou enteral, </w:t>
      </w:r>
      <w:proofErr w:type="spellStart"/>
      <w:r w:rsidR="00E62F19" w:rsidRPr="00A951E4">
        <w:rPr>
          <w:rFonts w:ascii="Verdana" w:hAnsi="Verdana" w:cs="Arial"/>
          <w:color w:val="0070C0"/>
          <w:sz w:val="18"/>
          <w:szCs w:val="18"/>
        </w:rPr>
        <w:t>nutricionalmente</w:t>
      </w:r>
      <w:proofErr w:type="spellEnd"/>
      <w:r w:rsidR="00E62F19" w:rsidRPr="00A951E4">
        <w:rPr>
          <w:rFonts w:ascii="Verdana" w:hAnsi="Verdana" w:cs="Arial"/>
          <w:color w:val="0070C0"/>
          <w:sz w:val="18"/>
          <w:szCs w:val="18"/>
        </w:rPr>
        <w:t xml:space="preserve"> completo, hipercalórico (1,5 Kcal/</w:t>
      </w:r>
      <w:proofErr w:type="spellStart"/>
      <w:r w:rsidR="00E62F19" w:rsidRPr="00A951E4">
        <w:rPr>
          <w:rFonts w:ascii="Verdana" w:hAnsi="Verdana" w:cs="Arial"/>
          <w:color w:val="0070C0"/>
          <w:sz w:val="18"/>
          <w:szCs w:val="18"/>
        </w:rPr>
        <w:t>gr</w:t>
      </w:r>
      <w:proofErr w:type="spellEnd"/>
      <w:r w:rsidR="00E62F19" w:rsidRPr="00A951E4">
        <w:rPr>
          <w:rFonts w:ascii="Verdana" w:hAnsi="Verdana" w:cs="Arial"/>
          <w:color w:val="0070C0"/>
          <w:sz w:val="18"/>
          <w:szCs w:val="18"/>
        </w:rPr>
        <w:t xml:space="preserve">), fornecendo alto aporte de nutrientes em pequeno volume, ISENTO DE LACTOSE E GLÚTEN, acrescido de todas as vitaminas e sais minerais, além de colina, </w:t>
      </w:r>
      <w:proofErr w:type="spellStart"/>
      <w:r w:rsidR="00E62F19" w:rsidRPr="00A951E4">
        <w:rPr>
          <w:rFonts w:ascii="Verdana" w:hAnsi="Verdana" w:cs="Arial"/>
          <w:color w:val="0070C0"/>
          <w:sz w:val="18"/>
          <w:szCs w:val="18"/>
        </w:rPr>
        <w:t>carnitina</w:t>
      </w:r>
      <w:proofErr w:type="spellEnd"/>
      <w:r w:rsidR="00E62F19" w:rsidRPr="00A951E4">
        <w:rPr>
          <w:rFonts w:ascii="Verdana" w:hAnsi="Verdana" w:cs="Arial"/>
          <w:color w:val="0070C0"/>
          <w:sz w:val="18"/>
          <w:szCs w:val="18"/>
        </w:rPr>
        <w:t xml:space="preserve"> e taurina”.</w:t>
      </w:r>
    </w:p>
    <w:p w:rsidR="00B57DCE" w:rsidRPr="00A951E4" w:rsidRDefault="00B57DCE" w:rsidP="00A951E4">
      <w:pPr>
        <w:spacing w:after="120" w:line="360" w:lineRule="auto"/>
        <w:ind w:right="-284"/>
        <w:jc w:val="both"/>
        <w:rPr>
          <w:rFonts w:ascii="Verdana" w:hAnsi="Verdana" w:cs="Arial"/>
          <w:color w:val="0070C0"/>
          <w:sz w:val="18"/>
          <w:szCs w:val="18"/>
        </w:rPr>
      </w:pPr>
      <w:r w:rsidRPr="00A951E4">
        <w:rPr>
          <w:rFonts w:ascii="Verdana" w:hAnsi="Verdana" w:cs="Arial"/>
          <w:color w:val="0070C0"/>
          <w:sz w:val="18"/>
          <w:szCs w:val="18"/>
        </w:rPr>
        <w:t>A empresa solicitante argumenta que:</w:t>
      </w:r>
    </w:p>
    <w:p w:rsidR="00E62F19" w:rsidRPr="00B57DCE" w:rsidRDefault="00E62F19" w:rsidP="00B57DCE">
      <w:pPr>
        <w:pStyle w:val="PargrafodaLista"/>
        <w:numPr>
          <w:ilvl w:val="0"/>
          <w:numId w:val="11"/>
        </w:numPr>
        <w:spacing w:after="120" w:line="360" w:lineRule="auto"/>
        <w:ind w:left="0" w:right="-284" w:firstLine="709"/>
        <w:jc w:val="both"/>
        <w:rPr>
          <w:rFonts w:ascii="Verdana" w:hAnsi="Verdana" w:cs="Arial"/>
          <w:color w:val="0070C0"/>
          <w:sz w:val="18"/>
          <w:szCs w:val="18"/>
        </w:rPr>
      </w:pPr>
      <w:r w:rsidRPr="00B57DCE">
        <w:rPr>
          <w:rFonts w:ascii="Verdana" w:hAnsi="Verdana" w:cs="Arial"/>
          <w:color w:val="0070C0"/>
          <w:sz w:val="18"/>
          <w:szCs w:val="18"/>
        </w:rPr>
        <w:t xml:space="preserve">O Produto </w:t>
      </w:r>
      <w:proofErr w:type="spellStart"/>
      <w:r w:rsidRPr="00B57DCE">
        <w:rPr>
          <w:rFonts w:ascii="Verdana" w:hAnsi="Verdana" w:cs="Arial"/>
          <w:color w:val="0070C0"/>
          <w:sz w:val="18"/>
          <w:szCs w:val="18"/>
        </w:rPr>
        <w:t>Pediasure</w:t>
      </w:r>
      <w:proofErr w:type="spellEnd"/>
      <w:r w:rsidRPr="00B57DCE">
        <w:rPr>
          <w:rFonts w:ascii="Verdana" w:hAnsi="Verdana" w:cs="Arial"/>
          <w:color w:val="0070C0"/>
          <w:sz w:val="18"/>
          <w:szCs w:val="18"/>
        </w:rPr>
        <w:t xml:space="preserve"> Complete é um alimento </w:t>
      </w:r>
      <w:proofErr w:type="spellStart"/>
      <w:r w:rsidRPr="00B57DCE">
        <w:rPr>
          <w:rFonts w:ascii="Verdana" w:hAnsi="Verdana" w:cs="Arial"/>
          <w:color w:val="0070C0"/>
          <w:sz w:val="18"/>
          <w:szCs w:val="18"/>
        </w:rPr>
        <w:t>nutricionalmente</w:t>
      </w:r>
      <w:proofErr w:type="spellEnd"/>
      <w:r w:rsidRPr="00B57DCE">
        <w:rPr>
          <w:rFonts w:ascii="Verdana" w:hAnsi="Verdana" w:cs="Arial"/>
          <w:color w:val="0070C0"/>
          <w:sz w:val="18"/>
          <w:szCs w:val="18"/>
        </w:rPr>
        <w:t xml:space="preserve"> completo para uso oral ou enteral. Na sua diluição de 1.0 colorias por ml (5 colheres medida para 190 ml de água) </w:t>
      </w:r>
      <w:proofErr w:type="spellStart"/>
      <w:r w:rsidRPr="00B57DCE">
        <w:rPr>
          <w:rFonts w:ascii="Verdana" w:hAnsi="Verdana" w:cs="Arial"/>
          <w:color w:val="0070C0"/>
          <w:sz w:val="18"/>
          <w:szCs w:val="18"/>
        </w:rPr>
        <w:t>Pediasure</w:t>
      </w:r>
      <w:proofErr w:type="spellEnd"/>
      <w:r w:rsidRPr="00B57DCE">
        <w:rPr>
          <w:rFonts w:ascii="Verdana" w:hAnsi="Verdana" w:cs="Arial"/>
          <w:color w:val="0070C0"/>
          <w:sz w:val="18"/>
          <w:szCs w:val="18"/>
        </w:rPr>
        <w:t xml:space="preserve"> Complete fornece 225 ml e 225 calorias.</w:t>
      </w:r>
    </w:p>
    <w:p w:rsidR="00E62F19" w:rsidRPr="00B57DCE" w:rsidRDefault="00E62F19" w:rsidP="00B57DCE">
      <w:pPr>
        <w:pStyle w:val="PargrafodaLista"/>
        <w:numPr>
          <w:ilvl w:val="0"/>
          <w:numId w:val="11"/>
        </w:numPr>
        <w:spacing w:after="120" w:line="360" w:lineRule="auto"/>
        <w:ind w:left="0" w:right="-284" w:firstLine="709"/>
        <w:jc w:val="both"/>
        <w:rPr>
          <w:rFonts w:ascii="Verdana" w:hAnsi="Verdana" w:cs="Arial"/>
          <w:color w:val="0070C0"/>
          <w:sz w:val="18"/>
          <w:szCs w:val="18"/>
        </w:rPr>
      </w:pPr>
      <w:r w:rsidRPr="00B57DCE">
        <w:rPr>
          <w:rFonts w:ascii="Verdana" w:hAnsi="Verdana" w:cs="Arial"/>
          <w:color w:val="0070C0"/>
          <w:sz w:val="18"/>
          <w:szCs w:val="18"/>
        </w:rPr>
        <w:t xml:space="preserve">Como qualquer outra formulação em pó, é possível diluir ou concentrar a formulação para atender as necessidades específicas. Para aumentar a densidade calórica de </w:t>
      </w:r>
      <w:proofErr w:type="spellStart"/>
      <w:r w:rsidRPr="00B57DCE">
        <w:rPr>
          <w:rFonts w:ascii="Verdana" w:hAnsi="Verdana" w:cs="Arial"/>
          <w:color w:val="0070C0"/>
          <w:sz w:val="18"/>
          <w:szCs w:val="18"/>
        </w:rPr>
        <w:t>Pediasure</w:t>
      </w:r>
      <w:proofErr w:type="spellEnd"/>
      <w:r w:rsidRPr="00B57DCE">
        <w:rPr>
          <w:rFonts w:ascii="Verdana" w:hAnsi="Verdana" w:cs="Arial"/>
          <w:color w:val="0070C0"/>
          <w:sz w:val="18"/>
          <w:szCs w:val="18"/>
        </w:rPr>
        <w:t xml:space="preserve"> Complete para 1.5 cal/ml, basta adicionar 7 colheres medida da mesma quantidade de água acima mencionada</w:t>
      </w:r>
      <w:r w:rsidR="004D68EB" w:rsidRPr="00B57DCE">
        <w:rPr>
          <w:rFonts w:ascii="Verdana" w:hAnsi="Verdana" w:cs="Arial"/>
          <w:color w:val="0070C0"/>
          <w:sz w:val="18"/>
          <w:szCs w:val="18"/>
        </w:rPr>
        <w:t>. Para a diluição de 2.0 Kcal, deverá ser utilizada 9 colheres medida de pó para a mesma quantidade de água. No entanto, esta conduta deve seguir as instruções do médico e/ou nutricionista. Caso a administração seja via enteral, ajustar a taxa de fluxo, volume e diluição de acordo com as condições e tolerabilidade do paciente.</w:t>
      </w:r>
    </w:p>
    <w:p w:rsidR="004D68EB" w:rsidRPr="00B57DCE" w:rsidRDefault="004D68EB" w:rsidP="00B57DCE">
      <w:pPr>
        <w:pStyle w:val="PargrafodaLista"/>
        <w:numPr>
          <w:ilvl w:val="0"/>
          <w:numId w:val="11"/>
        </w:numPr>
        <w:spacing w:after="120" w:line="360" w:lineRule="auto"/>
        <w:ind w:left="0" w:right="-284" w:firstLine="709"/>
        <w:jc w:val="both"/>
        <w:rPr>
          <w:rFonts w:ascii="Verdana" w:hAnsi="Verdana" w:cs="Arial"/>
          <w:color w:val="0070C0"/>
          <w:sz w:val="18"/>
          <w:szCs w:val="18"/>
        </w:rPr>
      </w:pPr>
      <w:r w:rsidRPr="00B57DCE">
        <w:rPr>
          <w:rFonts w:ascii="Verdana" w:hAnsi="Verdana" w:cs="Arial"/>
          <w:color w:val="0070C0"/>
          <w:sz w:val="18"/>
          <w:szCs w:val="18"/>
        </w:rPr>
        <w:t>A Resolução da Diretoria Colegiada – RDC n. º 136/2017, que estabelece os requisitos para declaração obrigatória da presença de lactose nos rótulos dos alimentos</w:t>
      </w:r>
      <w:r w:rsidR="009F04B6" w:rsidRPr="00B57DCE">
        <w:rPr>
          <w:rFonts w:ascii="Verdana" w:hAnsi="Verdana" w:cs="Arial"/>
          <w:color w:val="0070C0"/>
          <w:sz w:val="18"/>
          <w:szCs w:val="18"/>
        </w:rPr>
        <w:t>, determina que as fórmulas para nutrição enteral serão consideradas “isentas de lactose” quando apresentam quantidades de lactose inferior a 25mg/100Kcal. Este valor é enfatizado na RDC n. º 21/2015, que dispõe sobre o regulamento técnico de fórmulas para nutrição enteral.</w:t>
      </w:r>
    </w:p>
    <w:p w:rsidR="00B57DCE" w:rsidRPr="00B57DCE" w:rsidRDefault="00B57DCE" w:rsidP="00B57DCE">
      <w:pPr>
        <w:pStyle w:val="PargrafodaLista"/>
        <w:numPr>
          <w:ilvl w:val="0"/>
          <w:numId w:val="11"/>
        </w:numPr>
        <w:spacing w:after="120" w:line="360" w:lineRule="auto"/>
        <w:ind w:left="0" w:right="-284" w:firstLine="709"/>
        <w:jc w:val="both"/>
        <w:rPr>
          <w:rFonts w:ascii="Verdana" w:hAnsi="Verdana" w:cs="Arial"/>
          <w:color w:val="0070C0"/>
          <w:sz w:val="18"/>
          <w:szCs w:val="18"/>
        </w:rPr>
      </w:pPr>
      <w:r w:rsidRPr="00B57DCE">
        <w:rPr>
          <w:rFonts w:ascii="Verdana" w:hAnsi="Verdana" w:cs="Arial"/>
          <w:color w:val="0070C0"/>
          <w:sz w:val="18"/>
          <w:szCs w:val="18"/>
        </w:rPr>
        <w:t xml:space="preserve">Primeiramente, a ABBOTT ressalta que o </w:t>
      </w:r>
      <w:proofErr w:type="spellStart"/>
      <w:r w:rsidRPr="00B57DCE">
        <w:rPr>
          <w:rFonts w:ascii="Verdana" w:hAnsi="Verdana" w:cs="Arial"/>
          <w:color w:val="0070C0"/>
          <w:sz w:val="18"/>
          <w:szCs w:val="18"/>
        </w:rPr>
        <w:t>Pediasure</w:t>
      </w:r>
      <w:proofErr w:type="spellEnd"/>
      <w:r w:rsidRPr="00B57DCE">
        <w:rPr>
          <w:rFonts w:ascii="Verdana" w:hAnsi="Verdana" w:cs="Arial"/>
          <w:color w:val="0070C0"/>
          <w:sz w:val="18"/>
          <w:szCs w:val="18"/>
        </w:rPr>
        <w:t xml:space="preserve"> Complete não contém lactose adicionada à sua fórmula. A presença de lactose no produto é derivada de outras </w:t>
      </w:r>
      <w:r w:rsidR="00A951E4" w:rsidRPr="00B57DCE">
        <w:rPr>
          <w:rFonts w:ascii="Verdana" w:hAnsi="Verdana" w:cs="Arial"/>
          <w:color w:val="0070C0"/>
          <w:sz w:val="18"/>
          <w:szCs w:val="18"/>
        </w:rPr>
        <w:t>matérias-primas</w:t>
      </w:r>
      <w:r w:rsidRPr="00B57DCE">
        <w:rPr>
          <w:rFonts w:ascii="Verdana" w:hAnsi="Verdana" w:cs="Arial"/>
          <w:color w:val="0070C0"/>
          <w:sz w:val="18"/>
          <w:szCs w:val="18"/>
        </w:rPr>
        <w:t xml:space="preserve"> que compõem sua formulação.</w:t>
      </w:r>
    </w:p>
    <w:p w:rsidR="00B57DCE" w:rsidRPr="00B57DCE" w:rsidRDefault="00B57DCE" w:rsidP="00B57DCE">
      <w:pPr>
        <w:pStyle w:val="PargrafodaLista"/>
        <w:numPr>
          <w:ilvl w:val="0"/>
          <w:numId w:val="11"/>
        </w:numPr>
        <w:spacing w:after="120" w:line="360" w:lineRule="auto"/>
        <w:ind w:left="0" w:right="-284" w:firstLine="709"/>
        <w:jc w:val="both"/>
        <w:rPr>
          <w:rFonts w:ascii="Verdana" w:hAnsi="Verdana" w:cs="Arial"/>
          <w:color w:val="0070C0"/>
          <w:sz w:val="18"/>
          <w:szCs w:val="18"/>
        </w:rPr>
      </w:pPr>
      <w:r w:rsidRPr="00B57DCE">
        <w:rPr>
          <w:rFonts w:ascii="Verdana" w:hAnsi="Verdana" w:cs="Arial"/>
          <w:color w:val="0070C0"/>
          <w:sz w:val="18"/>
          <w:szCs w:val="18"/>
        </w:rPr>
        <w:t xml:space="preserve">Mesmo em casos de </w:t>
      </w:r>
      <w:proofErr w:type="spellStart"/>
      <w:r w:rsidRPr="00B57DCE">
        <w:rPr>
          <w:rFonts w:ascii="Verdana" w:hAnsi="Verdana" w:cs="Arial"/>
          <w:color w:val="0070C0"/>
          <w:sz w:val="18"/>
          <w:szCs w:val="18"/>
        </w:rPr>
        <w:t>hipolactasia</w:t>
      </w:r>
      <w:proofErr w:type="spellEnd"/>
      <w:r w:rsidRPr="00B57DCE">
        <w:rPr>
          <w:rFonts w:ascii="Verdana" w:hAnsi="Verdana" w:cs="Arial"/>
          <w:color w:val="0070C0"/>
          <w:sz w:val="18"/>
          <w:szCs w:val="18"/>
        </w:rPr>
        <w:t xml:space="preserve"> secundária (deficiência de </w:t>
      </w:r>
      <w:proofErr w:type="spellStart"/>
      <w:r w:rsidRPr="00B57DCE">
        <w:rPr>
          <w:rFonts w:ascii="Verdana" w:hAnsi="Verdana" w:cs="Arial"/>
          <w:color w:val="0070C0"/>
          <w:sz w:val="18"/>
          <w:szCs w:val="18"/>
        </w:rPr>
        <w:t>lactase</w:t>
      </w:r>
      <w:proofErr w:type="spellEnd"/>
      <w:r w:rsidRPr="00B57DCE">
        <w:rPr>
          <w:rFonts w:ascii="Verdana" w:hAnsi="Verdana" w:cs="Arial"/>
          <w:color w:val="0070C0"/>
          <w:sz w:val="18"/>
          <w:szCs w:val="18"/>
        </w:rPr>
        <w:t xml:space="preserve"> temporária e reversível) que ocorre como resultado de da</w:t>
      </w:r>
      <w:r w:rsidR="005F060E">
        <w:rPr>
          <w:rFonts w:ascii="Verdana" w:hAnsi="Verdana" w:cs="Arial"/>
          <w:color w:val="0070C0"/>
          <w:sz w:val="18"/>
          <w:szCs w:val="18"/>
        </w:rPr>
        <w:t>n</w:t>
      </w:r>
      <w:r w:rsidRPr="00B57DCE">
        <w:rPr>
          <w:rFonts w:ascii="Verdana" w:hAnsi="Verdana" w:cs="Arial"/>
          <w:color w:val="0070C0"/>
          <w:sz w:val="18"/>
          <w:szCs w:val="18"/>
        </w:rPr>
        <w:t xml:space="preserve">os aos </w:t>
      </w:r>
      <w:proofErr w:type="spellStart"/>
      <w:r w:rsidRPr="00B57DCE">
        <w:rPr>
          <w:rFonts w:ascii="Verdana" w:hAnsi="Verdana" w:cs="Arial"/>
          <w:color w:val="0070C0"/>
          <w:sz w:val="18"/>
          <w:szCs w:val="18"/>
        </w:rPr>
        <w:t>enterócitos</w:t>
      </w:r>
      <w:proofErr w:type="spellEnd"/>
      <w:r w:rsidRPr="00B57DCE">
        <w:rPr>
          <w:rFonts w:ascii="Verdana" w:hAnsi="Verdana" w:cs="Arial"/>
          <w:color w:val="0070C0"/>
          <w:sz w:val="18"/>
          <w:szCs w:val="18"/>
        </w:rPr>
        <w:t xml:space="preserve"> por doença, medicamentos, cirurgia ou radiação para o trato gastrointestinal – uma pequena quantidade de lactose (ou seja, 0,2g/100ml) não induz sintomas devido aos fatores acima descritos.</w:t>
      </w:r>
    </w:p>
    <w:p w:rsidR="00B57DCE" w:rsidRPr="00B57DCE" w:rsidRDefault="00B57DCE" w:rsidP="00B57DCE">
      <w:pPr>
        <w:pStyle w:val="PargrafodaLista"/>
        <w:numPr>
          <w:ilvl w:val="0"/>
          <w:numId w:val="11"/>
        </w:numPr>
        <w:spacing w:after="120" w:line="360" w:lineRule="auto"/>
        <w:ind w:left="0" w:right="-284" w:firstLine="709"/>
        <w:jc w:val="both"/>
        <w:rPr>
          <w:rFonts w:ascii="Verdana" w:hAnsi="Verdana" w:cs="Arial"/>
          <w:color w:val="0070C0"/>
          <w:sz w:val="18"/>
          <w:szCs w:val="18"/>
        </w:rPr>
      </w:pPr>
      <w:r w:rsidRPr="00B57DCE">
        <w:rPr>
          <w:rFonts w:ascii="Verdana" w:hAnsi="Verdana" w:cs="Arial"/>
          <w:color w:val="0070C0"/>
          <w:sz w:val="18"/>
          <w:szCs w:val="18"/>
        </w:rPr>
        <w:lastRenderedPageBreak/>
        <w:t xml:space="preserve">Assim a presença de </w:t>
      </w:r>
      <w:proofErr w:type="spellStart"/>
      <w:r w:rsidRPr="00B57DCE">
        <w:rPr>
          <w:rFonts w:ascii="Verdana" w:hAnsi="Verdana" w:cs="Arial"/>
          <w:color w:val="0070C0"/>
          <w:sz w:val="18"/>
          <w:szCs w:val="18"/>
        </w:rPr>
        <w:t>lactase</w:t>
      </w:r>
      <w:proofErr w:type="spellEnd"/>
      <w:r w:rsidRPr="00B57DCE">
        <w:rPr>
          <w:rFonts w:ascii="Verdana" w:hAnsi="Verdana" w:cs="Arial"/>
          <w:color w:val="0070C0"/>
          <w:sz w:val="18"/>
          <w:szCs w:val="18"/>
        </w:rPr>
        <w:t xml:space="preserve"> numa fórmula (isto é, 0,2g/100 ml) não está associada a sintomas de GL. Tanto é assim que desde o lançamento da atual fórmula do produto, em 2012, não foi registrado nenhum efeito adverso causado por </w:t>
      </w:r>
      <w:proofErr w:type="spellStart"/>
      <w:r w:rsidRPr="00B57DCE">
        <w:rPr>
          <w:rFonts w:ascii="Verdana" w:hAnsi="Verdana" w:cs="Arial"/>
          <w:color w:val="0070C0"/>
          <w:sz w:val="18"/>
          <w:szCs w:val="18"/>
        </w:rPr>
        <w:t>Pediasure</w:t>
      </w:r>
      <w:proofErr w:type="spellEnd"/>
      <w:r w:rsidRPr="00B57DCE">
        <w:rPr>
          <w:rFonts w:ascii="Verdana" w:hAnsi="Verdana" w:cs="Arial"/>
          <w:color w:val="0070C0"/>
          <w:sz w:val="18"/>
          <w:szCs w:val="18"/>
        </w:rPr>
        <w:t xml:space="preserve"> Complete em intolerantes á lactose.</w:t>
      </w:r>
    </w:p>
    <w:p w:rsidR="00B57DCE" w:rsidRDefault="00B57DCE" w:rsidP="00792C23">
      <w:pPr>
        <w:pStyle w:val="PargrafodaLista"/>
        <w:spacing w:after="120" w:line="360" w:lineRule="auto"/>
        <w:ind w:left="0" w:right="-284"/>
        <w:jc w:val="both"/>
        <w:rPr>
          <w:rFonts w:ascii="Verdana" w:hAnsi="Verdana" w:cs="Arial"/>
          <w:b/>
          <w:color w:val="0070C0"/>
          <w:sz w:val="18"/>
          <w:szCs w:val="18"/>
        </w:rPr>
      </w:pPr>
    </w:p>
    <w:p w:rsidR="00E900A4" w:rsidRDefault="00E844CD" w:rsidP="00792C23">
      <w:pPr>
        <w:pStyle w:val="PargrafodaLista"/>
        <w:spacing w:after="120" w:line="360" w:lineRule="auto"/>
        <w:ind w:left="0" w:right="-284"/>
        <w:jc w:val="both"/>
        <w:rPr>
          <w:rFonts w:ascii="Verdana" w:hAnsi="Verdana" w:cs="Arial"/>
          <w:b/>
          <w:color w:val="0070C0"/>
          <w:sz w:val="18"/>
          <w:szCs w:val="18"/>
        </w:rPr>
      </w:pPr>
      <w:r w:rsidRPr="002E35A9">
        <w:rPr>
          <w:rFonts w:ascii="Verdana" w:hAnsi="Verdana" w:cs="Arial"/>
          <w:b/>
          <w:color w:val="0070C0"/>
          <w:sz w:val="18"/>
          <w:szCs w:val="18"/>
        </w:rPr>
        <w:t>PEDIDO</w:t>
      </w:r>
      <w:r w:rsidR="0030229C">
        <w:rPr>
          <w:rFonts w:ascii="Verdana" w:hAnsi="Verdana" w:cs="Arial"/>
          <w:b/>
          <w:color w:val="0070C0"/>
          <w:sz w:val="18"/>
          <w:szCs w:val="18"/>
        </w:rPr>
        <w:t>S</w:t>
      </w:r>
    </w:p>
    <w:p w:rsidR="00552FBB" w:rsidRPr="002E35A9" w:rsidRDefault="00E844CD" w:rsidP="00B57DCE">
      <w:pPr>
        <w:pStyle w:val="PargrafodaLista"/>
        <w:spacing w:after="120" w:line="360" w:lineRule="auto"/>
        <w:ind w:left="0" w:right="-284" w:firstLine="720"/>
        <w:jc w:val="both"/>
        <w:rPr>
          <w:rFonts w:ascii="Verdana" w:hAnsi="Verdana" w:cs="Arial"/>
          <w:b/>
          <w:color w:val="0070C0"/>
          <w:sz w:val="18"/>
          <w:szCs w:val="18"/>
        </w:rPr>
      </w:pPr>
      <w:r w:rsidRPr="002E35A9">
        <w:rPr>
          <w:rFonts w:ascii="Verdana" w:hAnsi="Verdana" w:cs="Arial"/>
          <w:color w:val="0070C0"/>
          <w:sz w:val="18"/>
          <w:szCs w:val="18"/>
        </w:rPr>
        <w:t xml:space="preserve">Diante do </w:t>
      </w:r>
      <w:r w:rsidR="00834ABE" w:rsidRPr="002E35A9">
        <w:rPr>
          <w:rFonts w:ascii="Verdana" w:hAnsi="Verdana" w:cs="Arial"/>
          <w:color w:val="0070C0"/>
          <w:sz w:val="18"/>
          <w:szCs w:val="18"/>
        </w:rPr>
        <w:t>exposto</w:t>
      </w:r>
      <w:r w:rsidRPr="002E35A9">
        <w:rPr>
          <w:rFonts w:ascii="Verdana" w:hAnsi="Verdana" w:cs="Arial"/>
          <w:color w:val="0070C0"/>
          <w:sz w:val="18"/>
          <w:szCs w:val="18"/>
        </w:rPr>
        <w:t xml:space="preserve"> </w:t>
      </w:r>
      <w:r w:rsidR="00FE7C1F">
        <w:rPr>
          <w:rFonts w:ascii="Verdana" w:hAnsi="Verdana" w:cs="Arial"/>
          <w:color w:val="0070C0"/>
          <w:sz w:val="18"/>
          <w:szCs w:val="18"/>
        </w:rPr>
        <w:t xml:space="preserve">a interessada </w:t>
      </w:r>
      <w:r w:rsidR="004D62AE" w:rsidRPr="002E35A9">
        <w:rPr>
          <w:rFonts w:ascii="Verdana" w:hAnsi="Verdana" w:cs="Arial"/>
          <w:color w:val="0070C0"/>
          <w:sz w:val="18"/>
          <w:szCs w:val="18"/>
        </w:rPr>
        <w:t>requer</w:t>
      </w:r>
      <w:r w:rsidR="00B57DCE">
        <w:rPr>
          <w:rFonts w:ascii="Verdana" w:hAnsi="Verdana" w:cs="Arial"/>
          <w:color w:val="0070C0"/>
          <w:sz w:val="18"/>
          <w:szCs w:val="18"/>
        </w:rPr>
        <w:t xml:space="preserve"> que seja modificado do descritivo os dizeres “sem lactose” sugerindo – se </w:t>
      </w:r>
      <w:r w:rsidR="00FE7C1F">
        <w:rPr>
          <w:rFonts w:ascii="Verdana" w:hAnsi="Verdana" w:cs="Arial"/>
          <w:color w:val="0070C0"/>
          <w:sz w:val="18"/>
          <w:szCs w:val="18"/>
        </w:rPr>
        <w:t xml:space="preserve">os descritivos utilizados </w:t>
      </w:r>
      <w:r w:rsidR="00191A74">
        <w:rPr>
          <w:rFonts w:ascii="Verdana" w:hAnsi="Verdana" w:cs="Arial"/>
          <w:color w:val="0070C0"/>
          <w:sz w:val="18"/>
          <w:szCs w:val="18"/>
        </w:rPr>
        <w:t>n</w:t>
      </w:r>
      <w:r w:rsidR="00FE7C1F">
        <w:rPr>
          <w:rFonts w:ascii="Verdana" w:hAnsi="Verdana" w:cs="Arial"/>
          <w:color w:val="0070C0"/>
          <w:sz w:val="18"/>
          <w:szCs w:val="18"/>
        </w:rPr>
        <w:t>as diversas Secretarias do Brasil, de modo que o princípio da isonomia seja m</w:t>
      </w:r>
      <w:r w:rsidR="00191A74">
        <w:rPr>
          <w:rFonts w:ascii="Verdana" w:hAnsi="Verdana" w:cs="Arial"/>
          <w:color w:val="0070C0"/>
          <w:sz w:val="18"/>
          <w:szCs w:val="18"/>
        </w:rPr>
        <w:t>a</w:t>
      </w:r>
      <w:r w:rsidR="00FE7C1F">
        <w:rPr>
          <w:rFonts w:ascii="Verdana" w:hAnsi="Verdana" w:cs="Arial"/>
          <w:color w:val="0070C0"/>
          <w:sz w:val="18"/>
          <w:szCs w:val="18"/>
        </w:rPr>
        <w:t>ntido, além de contribuir para o aumento de competidores e, consequentemente, menor custo para administração pública.</w:t>
      </w:r>
    </w:p>
    <w:p w:rsidR="000761F1" w:rsidRPr="002E35A9" w:rsidRDefault="000761F1" w:rsidP="000761F1">
      <w:pPr>
        <w:pStyle w:val="PargrafodaLista"/>
        <w:spacing w:before="240" w:after="120" w:line="360" w:lineRule="auto"/>
        <w:ind w:right="-284"/>
        <w:jc w:val="both"/>
        <w:rPr>
          <w:rFonts w:ascii="Verdana" w:hAnsi="Verdana" w:cs="Arial"/>
          <w:b/>
          <w:color w:val="0070C0"/>
          <w:sz w:val="18"/>
          <w:szCs w:val="18"/>
        </w:rPr>
      </w:pPr>
    </w:p>
    <w:p w:rsidR="007C6680" w:rsidRDefault="009F2AD5" w:rsidP="00792C23">
      <w:pPr>
        <w:pStyle w:val="PargrafodaLista"/>
        <w:spacing w:after="120" w:line="360" w:lineRule="auto"/>
        <w:ind w:left="0" w:right="-284"/>
        <w:jc w:val="both"/>
        <w:rPr>
          <w:rFonts w:ascii="Verdana" w:hAnsi="Verdana" w:cs="Arial"/>
          <w:b/>
          <w:color w:val="0070C0"/>
          <w:sz w:val="18"/>
          <w:szCs w:val="18"/>
        </w:rPr>
      </w:pPr>
      <w:r w:rsidRPr="002E35A9">
        <w:rPr>
          <w:rFonts w:ascii="Verdana" w:hAnsi="Verdana" w:cs="Arial"/>
          <w:b/>
          <w:color w:val="0070C0"/>
          <w:sz w:val="18"/>
          <w:szCs w:val="18"/>
        </w:rPr>
        <w:t>ANÁLISE DAS ALEGAÇÕES</w:t>
      </w:r>
    </w:p>
    <w:p w:rsidR="00E96E7E" w:rsidRPr="002E35A9" w:rsidRDefault="00883B94" w:rsidP="00E96E7E">
      <w:pPr>
        <w:pStyle w:val="PargrafodaLista"/>
        <w:spacing w:after="120" w:line="360" w:lineRule="auto"/>
        <w:ind w:left="0" w:right="-284"/>
        <w:jc w:val="both"/>
        <w:rPr>
          <w:rFonts w:ascii="Verdana" w:hAnsi="Verdana" w:cs="Arial"/>
          <w:color w:val="0070C0"/>
          <w:sz w:val="18"/>
          <w:szCs w:val="18"/>
        </w:rPr>
      </w:pPr>
      <w:r w:rsidRPr="002E35A9">
        <w:rPr>
          <w:rFonts w:ascii="Verdana" w:hAnsi="Verdana" w:cs="Arial"/>
          <w:b/>
          <w:color w:val="0070C0"/>
          <w:sz w:val="18"/>
          <w:szCs w:val="18"/>
        </w:rPr>
        <w:tab/>
      </w:r>
      <w:r w:rsidR="0084491E">
        <w:rPr>
          <w:rFonts w:ascii="Verdana" w:hAnsi="Verdana" w:cs="Arial"/>
          <w:color w:val="0070C0"/>
          <w:sz w:val="18"/>
          <w:szCs w:val="18"/>
        </w:rPr>
        <w:t xml:space="preserve">Esta </w:t>
      </w:r>
      <w:r w:rsidR="00552FBB" w:rsidRPr="002E35A9">
        <w:rPr>
          <w:rFonts w:ascii="Verdana" w:hAnsi="Verdana" w:cs="Arial"/>
          <w:color w:val="0070C0"/>
          <w:sz w:val="18"/>
          <w:szCs w:val="18"/>
        </w:rPr>
        <w:t xml:space="preserve">Comissão solicitou apoio técnico junto ao ambulatório de nutrição </w:t>
      </w:r>
      <w:r w:rsidR="00FE7C1F">
        <w:rPr>
          <w:rFonts w:ascii="Verdana" w:hAnsi="Verdana" w:cs="Arial"/>
          <w:color w:val="0070C0"/>
          <w:sz w:val="18"/>
          <w:szCs w:val="18"/>
        </w:rPr>
        <w:t>deste Consórcio</w:t>
      </w:r>
      <w:r w:rsidR="00552FBB" w:rsidRPr="002E35A9">
        <w:rPr>
          <w:rFonts w:ascii="Verdana" w:hAnsi="Verdana" w:cs="Arial"/>
          <w:color w:val="0070C0"/>
          <w:sz w:val="18"/>
          <w:szCs w:val="18"/>
        </w:rPr>
        <w:t xml:space="preserve"> com relação aos quesitos técnicos das peças</w:t>
      </w:r>
      <w:r w:rsidR="00191A74">
        <w:rPr>
          <w:rFonts w:ascii="Verdana" w:hAnsi="Verdana" w:cs="Arial"/>
          <w:color w:val="0070C0"/>
          <w:sz w:val="18"/>
          <w:szCs w:val="18"/>
        </w:rPr>
        <w:t>,</w:t>
      </w:r>
      <w:r w:rsidR="00552FBB" w:rsidRPr="002E35A9">
        <w:rPr>
          <w:rFonts w:ascii="Verdana" w:hAnsi="Verdana" w:cs="Arial"/>
          <w:color w:val="0070C0"/>
          <w:sz w:val="18"/>
          <w:szCs w:val="18"/>
        </w:rPr>
        <w:t xml:space="preserve"> onde fomos </w:t>
      </w:r>
      <w:r w:rsidR="00191A74">
        <w:rPr>
          <w:rFonts w:ascii="Verdana" w:hAnsi="Verdana" w:cs="Arial"/>
          <w:color w:val="0070C0"/>
          <w:sz w:val="18"/>
          <w:szCs w:val="18"/>
        </w:rPr>
        <w:t>informados</w:t>
      </w:r>
      <w:r w:rsidR="00552FBB" w:rsidRPr="002E35A9">
        <w:rPr>
          <w:rFonts w:ascii="Verdana" w:hAnsi="Verdana" w:cs="Arial"/>
          <w:color w:val="0070C0"/>
          <w:sz w:val="18"/>
          <w:szCs w:val="18"/>
        </w:rPr>
        <w:t xml:space="preserve"> </w:t>
      </w:r>
      <w:r w:rsidR="00191A74">
        <w:rPr>
          <w:rFonts w:ascii="Verdana" w:hAnsi="Verdana" w:cs="Arial"/>
          <w:color w:val="0070C0"/>
          <w:sz w:val="18"/>
          <w:szCs w:val="18"/>
        </w:rPr>
        <w:t>através da</w:t>
      </w:r>
      <w:r w:rsidR="00FE7C1F">
        <w:rPr>
          <w:rFonts w:ascii="Verdana" w:hAnsi="Verdana" w:cs="Arial"/>
          <w:color w:val="0070C0"/>
          <w:sz w:val="18"/>
          <w:szCs w:val="18"/>
        </w:rPr>
        <w:t xml:space="preserve"> NOTA DE ESCLARECIMENTO em anexo, que o produto </w:t>
      </w:r>
      <w:proofErr w:type="spellStart"/>
      <w:r w:rsidR="00FE7C1F">
        <w:rPr>
          <w:rFonts w:ascii="Verdana" w:hAnsi="Verdana" w:cs="Arial"/>
          <w:color w:val="0070C0"/>
          <w:sz w:val="18"/>
          <w:szCs w:val="18"/>
        </w:rPr>
        <w:t>Pediasure</w:t>
      </w:r>
      <w:proofErr w:type="spellEnd"/>
      <w:r w:rsidR="00FE7C1F">
        <w:rPr>
          <w:rFonts w:ascii="Verdana" w:hAnsi="Verdana" w:cs="Arial"/>
          <w:color w:val="0070C0"/>
          <w:sz w:val="18"/>
          <w:szCs w:val="18"/>
        </w:rPr>
        <w:t xml:space="preserve"> Complete não atende os requisitos dos respectivos itens 03 e 108, pois não informa </w:t>
      </w:r>
      <w:r w:rsidR="00FE7C1F">
        <w:rPr>
          <w:rFonts w:ascii="Verdana" w:hAnsi="Verdana" w:cs="Arial"/>
          <w:color w:val="0070C0"/>
          <w:sz w:val="18"/>
          <w:szCs w:val="18"/>
          <w:u w:val="single"/>
        </w:rPr>
        <w:t>explicitamente na embalagem ser “isento de lactose”</w:t>
      </w:r>
      <w:r w:rsidR="00FE7C1F">
        <w:rPr>
          <w:rFonts w:ascii="Verdana" w:hAnsi="Verdana" w:cs="Arial"/>
          <w:color w:val="0070C0"/>
          <w:sz w:val="18"/>
          <w:szCs w:val="18"/>
        </w:rPr>
        <w:t xml:space="preserve">, </w:t>
      </w:r>
      <w:r w:rsidR="00191A74">
        <w:rPr>
          <w:rFonts w:ascii="Verdana" w:hAnsi="Verdana" w:cs="Arial"/>
          <w:color w:val="0070C0"/>
          <w:sz w:val="18"/>
          <w:szCs w:val="18"/>
        </w:rPr>
        <w:t>tornando inviável</w:t>
      </w:r>
      <w:r w:rsidR="00FE7C1F">
        <w:rPr>
          <w:rFonts w:ascii="Verdana" w:hAnsi="Verdana" w:cs="Arial"/>
          <w:color w:val="0070C0"/>
          <w:sz w:val="18"/>
          <w:szCs w:val="18"/>
        </w:rPr>
        <w:t xml:space="preserve"> a explicação da RDC n. º 136/2017 à pacientes e familiares </w:t>
      </w:r>
      <w:r w:rsidR="00191A74">
        <w:rPr>
          <w:rFonts w:ascii="Verdana" w:hAnsi="Verdana" w:cs="Arial"/>
          <w:color w:val="0070C0"/>
          <w:sz w:val="18"/>
          <w:szCs w:val="18"/>
        </w:rPr>
        <w:t>que fazem uso do produto</w:t>
      </w:r>
      <w:r w:rsidR="00FE7C1F">
        <w:rPr>
          <w:rFonts w:ascii="Verdana" w:hAnsi="Verdana" w:cs="Arial"/>
          <w:color w:val="0070C0"/>
          <w:sz w:val="18"/>
          <w:szCs w:val="18"/>
        </w:rPr>
        <w:t xml:space="preserve">. </w:t>
      </w:r>
    </w:p>
    <w:p w:rsidR="0030229C" w:rsidRPr="002E35A9" w:rsidRDefault="00552FBB" w:rsidP="00E96E7E">
      <w:pPr>
        <w:pStyle w:val="PargrafodaLista"/>
        <w:spacing w:after="120" w:line="360" w:lineRule="auto"/>
        <w:ind w:left="0" w:right="-284"/>
        <w:jc w:val="both"/>
        <w:rPr>
          <w:rFonts w:ascii="Verdana" w:hAnsi="Verdana" w:cs="Arial"/>
          <w:color w:val="0070C0"/>
          <w:sz w:val="18"/>
          <w:szCs w:val="18"/>
        </w:rPr>
      </w:pPr>
      <w:r w:rsidRPr="002E35A9">
        <w:rPr>
          <w:rFonts w:ascii="Verdana" w:hAnsi="Verdana" w:cs="Arial"/>
          <w:color w:val="0070C0"/>
          <w:sz w:val="18"/>
          <w:szCs w:val="18"/>
        </w:rPr>
        <w:tab/>
      </w:r>
    </w:p>
    <w:p w:rsidR="00E764AC" w:rsidRDefault="00975221" w:rsidP="0030229C">
      <w:pPr>
        <w:spacing w:line="360" w:lineRule="auto"/>
        <w:ind w:right="-284"/>
        <w:jc w:val="both"/>
        <w:rPr>
          <w:rFonts w:ascii="Verdana" w:hAnsi="Verdana" w:cs="Arial"/>
          <w:b/>
          <w:color w:val="0070C0"/>
          <w:sz w:val="18"/>
          <w:szCs w:val="18"/>
        </w:rPr>
      </w:pPr>
      <w:r w:rsidRPr="002E35A9">
        <w:rPr>
          <w:rFonts w:ascii="Verdana" w:hAnsi="Verdana" w:cs="Arial"/>
          <w:b/>
          <w:color w:val="0070C0"/>
          <w:sz w:val="18"/>
          <w:szCs w:val="18"/>
        </w:rPr>
        <w:t>DECISÃO</w:t>
      </w:r>
    </w:p>
    <w:p w:rsidR="007C6680" w:rsidRPr="002E35A9" w:rsidRDefault="00ED6C23" w:rsidP="002E35A9">
      <w:pPr>
        <w:spacing w:after="120" w:line="360" w:lineRule="auto"/>
        <w:ind w:right="-284" w:firstLine="720"/>
        <w:jc w:val="both"/>
        <w:rPr>
          <w:rFonts w:ascii="Verdana" w:hAnsi="Verdana" w:cs="Arial"/>
          <w:color w:val="0070C0"/>
          <w:sz w:val="18"/>
          <w:szCs w:val="18"/>
        </w:rPr>
      </w:pPr>
      <w:r w:rsidRPr="002E35A9">
        <w:rPr>
          <w:rFonts w:ascii="Verdana" w:hAnsi="Verdana" w:cs="Arial"/>
          <w:color w:val="0070C0"/>
          <w:sz w:val="18"/>
          <w:szCs w:val="18"/>
        </w:rPr>
        <w:t xml:space="preserve">Diante do relato e com base </w:t>
      </w:r>
      <w:r w:rsidR="00FE7C1F">
        <w:rPr>
          <w:rFonts w:ascii="Verdana" w:hAnsi="Verdana" w:cs="Arial"/>
          <w:color w:val="0070C0"/>
          <w:sz w:val="18"/>
          <w:szCs w:val="18"/>
        </w:rPr>
        <w:t>na NOTA DE ESCLARECIMENTO</w:t>
      </w:r>
      <w:r w:rsidRPr="002E35A9">
        <w:rPr>
          <w:rFonts w:ascii="Verdana" w:hAnsi="Verdana" w:cs="Arial"/>
          <w:color w:val="0070C0"/>
          <w:sz w:val="18"/>
          <w:szCs w:val="18"/>
        </w:rPr>
        <w:t xml:space="preserve">, </w:t>
      </w:r>
      <w:r w:rsidR="00FE7C1F">
        <w:rPr>
          <w:rFonts w:ascii="Verdana" w:hAnsi="Verdana" w:cs="Arial"/>
          <w:color w:val="0070C0"/>
          <w:sz w:val="18"/>
          <w:szCs w:val="18"/>
        </w:rPr>
        <w:t>emitida</w:t>
      </w:r>
      <w:r w:rsidRPr="002E35A9">
        <w:rPr>
          <w:rFonts w:ascii="Verdana" w:hAnsi="Verdana" w:cs="Arial"/>
          <w:color w:val="0070C0"/>
          <w:sz w:val="18"/>
          <w:szCs w:val="18"/>
        </w:rPr>
        <w:t xml:space="preserve"> pelo Ambulatório de Nutrição</w:t>
      </w:r>
      <w:r w:rsidR="00FE7C1F">
        <w:rPr>
          <w:rFonts w:ascii="Verdana" w:hAnsi="Verdana" w:cs="Arial"/>
          <w:color w:val="0070C0"/>
          <w:sz w:val="18"/>
          <w:szCs w:val="18"/>
        </w:rPr>
        <w:t xml:space="preserve"> deste CONIMS</w:t>
      </w:r>
      <w:r w:rsidRPr="002E35A9">
        <w:rPr>
          <w:rFonts w:ascii="Verdana" w:hAnsi="Verdana" w:cs="Arial"/>
          <w:color w:val="0070C0"/>
          <w:sz w:val="18"/>
          <w:szCs w:val="18"/>
        </w:rPr>
        <w:t xml:space="preserve">, esta Comissão declara </w:t>
      </w:r>
      <w:r w:rsidR="00FE7C1F">
        <w:rPr>
          <w:rFonts w:ascii="Verdana" w:hAnsi="Verdana" w:cs="Arial"/>
          <w:color w:val="0070C0"/>
          <w:sz w:val="18"/>
          <w:szCs w:val="18"/>
        </w:rPr>
        <w:t>improcedente a razão apontada</w:t>
      </w:r>
      <w:r w:rsidRPr="002E35A9">
        <w:rPr>
          <w:rFonts w:ascii="Verdana" w:hAnsi="Verdana" w:cs="Arial"/>
          <w:color w:val="0070C0"/>
          <w:sz w:val="18"/>
          <w:szCs w:val="18"/>
        </w:rPr>
        <w:t xml:space="preserve">. </w:t>
      </w:r>
    </w:p>
    <w:p w:rsidR="000F22A7" w:rsidRPr="002E35A9" w:rsidRDefault="000F22A7" w:rsidP="00EA357D">
      <w:pPr>
        <w:spacing w:line="360" w:lineRule="auto"/>
        <w:ind w:firstLine="2268"/>
        <w:jc w:val="right"/>
        <w:rPr>
          <w:rFonts w:ascii="Verdana" w:hAnsi="Verdana" w:cs="Arial"/>
          <w:color w:val="0070C0"/>
          <w:sz w:val="18"/>
          <w:szCs w:val="18"/>
        </w:rPr>
      </w:pPr>
      <w:r w:rsidRPr="002E35A9">
        <w:rPr>
          <w:rFonts w:ascii="Verdana" w:hAnsi="Verdana" w:cs="Arial"/>
          <w:color w:val="0070C0"/>
          <w:sz w:val="18"/>
          <w:szCs w:val="18"/>
        </w:rPr>
        <w:t>Pato Branco</w:t>
      </w:r>
      <w:r w:rsidR="00650D47" w:rsidRPr="002E35A9">
        <w:rPr>
          <w:rFonts w:ascii="Verdana" w:hAnsi="Verdana" w:cs="Arial"/>
          <w:color w:val="0070C0"/>
          <w:sz w:val="18"/>
          <w:szCs w:val="18"/>
        </w:rPr>
        <w:t>/</w:t>
      </w:r>
      <w:r w:rsidRPr="002E35A9">
        <w:rPr>
          <w:rFonts w:ascii="Verdana" w:hAnsi="Verdana" w:cs="Arial"/>
          <w:color w:val="0070C0"/>
          <w:sz w:val="18"/>
          <w:szCs w:val="18"/>
        </w:rPr>
        <w:t xml:space="preserve">PR, </w:t>
      </w:r>
      <w:r w:rsidR="00FE7C1F">
        <w:rPr>
          <w:rFonts w:ascii="Verdana" w:hAnsi="Verdana" w:cs="Arial"/>
          <w:color w:val="0070C0"/>
          <w:sz w:val="18"/>
          <w:szCs w:val="18"/>
        </w:rPr>
        <w:t>18</w:t>
      </w:r>
      <w:r w:rsidR="00C05F68" w:rsidRPr="002E35A9">
        <w:rPr>
          <w:rFonts w:ascii="Verdana" w:hAnsi="Verdana" w:cs="Arial"/>
          <w:color w:val="0070C0"/>
          <w:sz w:val="18"/>
          <w:szCs w:val="18"/>
        </w:rPr>
        <w:t xml:space="preserve"> </w:t>
      </w:r>
      <w:r w:rsidR="00F55E59" w:rsidRPr="002E35A9">
        <w:rPr>
          <w:rFonts w:ascii="Verdana" w:hAnsi="Verdana" w:cs="Arial"/>
          <w:color w:val="0070C0"/>
          <w:sz w:val="18"/>
          <w:szCs w:val="18"/>
        </w:rPr>
        <w:t xml:space="preserve">de </w:t>
      </w:r>
      <w:r w:rsidR="00925A94" w:rsidRPr="002E35A9">
        <w:rPr>
          <w:rFonts w:ascii="Verdana" w:hAnsi="Verdana" w:cs="Arial"/>
          <w:color w:val="0070C0"/>
          <w:sz w:val="18"/>
          <w:szCs w:val="18"/>
        </w:rPr>
        <w:t>novembro</w:t>
      </w:r>
      <w:r w:rsidR="00F55E59" w:rsidRPr="002E35A9">
        <w:rPr>
          <w:rFonts w:ascii="Verdana" w:hAnsi="Verdana" w:cs="Arial"/>
          <w:color w:val="0070C0"/>
          <w:sz w:val="18"/>
          <w:szCs w:val="18"/>
        </w:rPr>
        <w:t xml:space="preserve"> de 201</w:t>
      </w:r>
      <w:r w:rsidR="00650D47" w:rsidRPr="002E35A9">
        <w:rPr>
          <w:rFonts w:ascii="Verdana" w:hAnsi="Verdana" w:cs="Arial"/>
          <w:color w:val="0070C0"/>
          <w:sz w:val="18"/>
          <w:szCs w:val="18"/>
        </w:rPr>
        <w:t>9</w:t>
      </w:r>
      <w:r w:rsidRPr="002E35A9">
        <w:rPr>
          <w:rFonts w:ascii="Verdana" w:hAnsi="Verdana" w:cs="Arial"/>
          <w:color w:val="0070C0"/>
          <w:sz w:val="18"/>
          <w:szCs w:val="18"/>
        </w:rPr>
        <w:t>.</w:t>
      </w:r>
    </w:p>
    <w:p w:rsidR="005C67C9" w:rsidRPr="002E35A9" w:rsidRDefault="005C67C9" w:rsidP="00EA357D">
      <w:pPr>
        <w:spacing w:line="360" w:lineRule="auto"/>
        <w:ind w:firstLine="2268"/>
        <w:jc w:val="both"/>
        <w:rPr>
          <w:rFonts w:ascii="Verdana" w:hAnsi="Verdana" w:cs="Arial"/>
          <w:color w:val="0070C0"/>
          <w:sz w:val="18"/>
          <w:szCs w:val="18"/>
        </w:rPr>
      </w:pPr>
    </w:p>
    <w:p w:rsidR="00CD1393" w:rsidRPr="002E35A9" w:rsidRDefault="00CD1393" w:rsidP="00EA357D">
      <w:pPr>
        <w:spacing w:line="360" w:lineRule="auto"/>
        <w:ind w:firstLine="2268"/>
        <w:jc w:val="both"/>
        <w:rPr>
          <w:rFonts w:ascii="Verdana" w:hAnsi="Verdana" w:cs="Arial"/>
          <w:color w:val="0070C0"/>
          <w:sz w:val="18"/>
          <w:szCs w:val="18"/>
        </w:rPr>
      </w:pPr>
    </w:p>
    <w:p w:rsidR="000F22A7" w:rsidRPr="002E35A9" w:rsidRDefault="00925A94" w:rsidP="00EA357D">
      <w:pPr>
        <w:jc w:val="center"/>
        <w:rPr>
          <w:rFonts w:ascii="Verdana" w:hAnsi="Verdana" w:cs="Arial"/>
          <w:color w:val="0070C0"/>
          <w:sz w:val="18"/>
          <w:szCs w:val="18"/>
        </w:rPr>
      </w:pPr>
      <w:r w:rsidRPr="002E35A9">
        <w:rPr>
          <w:rFonts w:ascii="Verdana" w:hAnsi="Verdana" w:cs="Arial"/>
          <w:color w:val="0070C0"/>
          <w:sz w:val="18"/>
          <w:szCs w:val="18"/>
        </w:rPr>
        <w:t>Cacilda Aparecida Santos</w:t>
      </w:r>
    </w:p>
    <w:p w:rsidR="000F22A7" w:rsidRPr="002E35A9" w:rsidRDefault="000F22A7" w:rsidP="00EA357D">
      <w:pPr>
        <w:jc w:val="center"/>
        <w:rPr>
          <w:rFonts w:ascii="Verdana" w:hAnsi="Verdana" w:cs="Arial"/>
          <w:b/>
          <w:bCs/>
          <w:color w:val="0070C0"/>
          <w:sz w:val="18"/>
          <w:szCs w:val="18"/>
          <w:u w:val="single"/>
        </w:rPr>
      </w:pPr>
      <w:r w:rsidRPr="002E35A9">
        <w:rPr>
          <w:rFonts w:ascii="Verdana" w:hAnsi="Verdana" w:cs="Arial"/>
          <w:b/>
          <w:color w:val="0070C0"/>
          <w:sz w:val="18"/>
          <w:szCs w:val="18"/>
        </w:rPr>
        <w:t>Pregoeira</w:t>
      </w:r>
    </w:p>
    <w:sectPr w:rsidR="000F22A7" w:rsidRPr="002E35A9" w:rsidSect="001F0627">
      <w:headerReference w:type="default" r:id="rId8"/>
      <w:footerReference w:type="default" r:id="rId9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35" w:rsidRDefault="00E76535">
      <w:r>
        <w:separator/>
      </w:r>
    </w:p>
  </w:endnote>
  <w:endnote w:type="continuationSeparator" w:id="0">
    <w:p w:rsidR="00E76535" w:rsidRDefault="00E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60E" w:rsidRDefault="005F060E" w:rsidP="005F060E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5F060E" w:rsidRPr="00282A4A" w:rsidRDefault="005F060E" w:rsidP="005F060E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E76535" w:rsidRPr="000C5DF6" w:rsidRDefault="005F060E" w:rsidP="005F060E">
    <w:pPr>
      <w:pStyle w:val="Rodap"/>
      <w:jc w:val="center"/>
      <w:rPr>
        <w:sz w:val="16"/>
      </w:rPr>
    </w:pPr>
    <w:r>
      <w:rPr>
        <w:rFonts w:ascii="Verdana" w:hAnsi="Verdana"/>
        <w:b/>
        <w:sz w:val="14"/>
        <w:szCs w:val="14"/>
      </w:rPr>
      <w:t>www.conims.com.br</w:t>
    </w:r>
    <w:r w:rsidRPr="00282A4A">
      <w:rPr>
        <w:rFonts w:ascii="Verdana" w:hAnsi="Verdana"/>
        <w:b/>
        <w:sz w:val="14"/>
        <w:szCs w:val="14"/>
      </w:rPr>
      <w:t xml:space="preserve"> - CNPJ: 00.136.858/0001-88</w:t>
    </w:r>
    <w:r w:rsidR="00E76535">
      <w:rPr>
        <w:b/>
        <w:sz w:val="16"/>
      </w:rPr>
      <w:t xml:space="preserve"> </w:t>
    </w:r>
  </w:p>
  <w:p w:rsidR="00E76535" w:rsidRDefault="00E765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35" w:rsidRDefault="00E76535">
      <w:r>
        <w:separator/>
      </w:r>
    </w:p>
  </w:footnote>
  <w:footnote w:type="continuationSeparator" w:id="0">
    <w:p w:rsidR="00E76535" w:rsidRDefault="00E76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35" w:rsidRDefault="00E76535">
    <w:pPr>
      <w:pStyle w:val="Cabealho"/>
    </w:pPr>
    <w:r w:rsidRPr="00991840">
      <w:rPr>
        <w:noProof/>
      </w:rPr>
      <w:drawing>
        <wp:inline distT="0" distB="0" distL="0" distR="0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1B45"/>
    <w:multiLevelType w:val="hybridMultilevel"/>
    <w:tmpl w:val="935244C0"/>
    <w:lvl w:ilvl="0" w:tplc="5B369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835B3"/>
    <w:multiLevelType w:val="hybridMultilevel"/>
    <w:tmpl w:val="FA84501E"/>
    <w:lvl w:ilvl="0" w:tplc="1504A9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02078"/>
    <w:multiLevelType w:val="hybridMultilevel"/>
    <w:tmpl w:val="95EE4D8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A2F15"/>
    <w:multiLevelType w:val="hybridMultilevel"/>
    <w:tmpl w:val="4C385E28"/>
    <w:lvl w:ilvl="0" w:tplc="6D34D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B59E2"/>
    <w:multiLevelType w:val="hybridMultilevel"/>
    <w:tmpl w:val="CCBAA6CE"/>
    <w:lvl w:ilvl="0" w:tplc="8BAA7C5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77A0560"/>
    <w:multiLevelType w:val="hybridMultilevel"/>
    <w:tmpl w:val="5B3C949A"/>
    <w:lvl w:ilvl="0" w:tplc="0EF8815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9422F12"/>
    <w:multiLevelType w:val="hybridMultilevel"/>
    <w:tmpl w:val="77E63188"/>
    <w:lvl w:ilvl="0" w:tplc="B5E8F556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52863"/>
    <w:multiLevelType w:val="hybridMultilevel"/>
    <w:tmpl w:val="80D299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A2FB8"/>
    <w:multiLevelType w:val="hybridMultilevel"/>
    <w:tmpl w:val="5E32294C"/>
    <w:lvl w:ilvl="0" w:tplc="8EC214A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84B6ECC"/>
    <w:multiLevelType w:val="hybridMultilevel"/>
    <w:tmpl w:val="5128CE3E"/>
    <w:lvl w:ilvl="0" w:tplc="9092CC96">
      <w:start w:val="1"/>
      <w:numFmt w:val="upperRoman"/>
      <w:lvlText w:val="%1)"/>
      <w:lvlJc w:val="left"/>
      <w:pPr>
        <w:ind w:left="243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 w15:restartNumberingAfterBreak="0">
    <w:nsid w:val="6D82526E"/>
    <w:multiLevelType w:val="hybridMultilevel"/>
    <w:tmpl w:val="243C5636"/>
    <w:lvl w:ilvl="0" w:tplc="E6C82CDA">
      <w:start w:val="1"/>
      <w:numFmt w:val="lowerLetter"/>
      <w:lvlText w:val="%1)"/>
      <w:lvlJc w:val="left"/>
      <w:pPr>
        <w:ind w:left="24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153" w:hanging="360"/>
      </w:pPr>
    </w:lvl>
    <w:lvl w:ilvl="2" w:tplc="0416001B" w:tentative="1">
      <w:start w:val="1"/>
      <w:numFmt w:val="lowerRoman"/>
      <w:lvlText w:val="%3."/>
      <w:lvlJc w:val="right"/>
      <w:pPr>
        <w:ind w:left="3873" w:hanging="180"/>
      </w:pPr>
    </w:lvl>
    <w:lvl w:ilvl="3" w:tplc="0416000F" w:tentative="1">
      <w:start w:val="1"/>
      <w:numFmt w:val="decimal"/>
      <w:lvlText w:val="%4."/>
      <w:lvlJc w:val="left"/>
      <w:pPr>
        <w:ind w:left="4593" w:hanging="360"/>
      </w:pPr>
    </w:lvl>
    <w:lvl w:ilvl="4" w:tplc="04160019" w:tentative="1">
      <w:start w:val="1"/>
      <w:numFmt w:val="lowerLetter"/>
      <w:lvlText w:val="%5."/>
      <w:lvlJc w:val="left"/>
      <w:pPr>
        <w:ind w:left="5313" w:hanging="360"/>
      </w:pPr>
    </w:lvl>
    <w:lvl w:ilvl="5" w:tplc="0416001B" w:tentative="1">
      <w:start w:val="1"/>
      <w:numFmt w:val="lowerRoman"/>
      <w:lvlText w:val="%6."/>
      <w:lvlJc w:val="right"/>
      <w:pPr>
        <w:ind w:left="6033" w:hanging="180"/>
      </w:pPr>
    </w:lvl>
    <w:lvl w:ilvl="6" w:tplc="0416000F" w:tentative="1">
      <w:start w:val="1"/>
      <w:numFmt w:val="decimal"/>
      <w:lvlText w:val="%7."/>
      <w:lvlJc w:val="left"/>
      <w:pPr>
        <w:ind w:left="6753" w:hanging="360"/>
      </w:pPr>
    </w:lvl>
    <w:lvl w:ilvl="7" w:tplc="04160019" w:tentative="1">
      <w:start w:val="1"/>
      <w:numFmt w:val="lowerLetter"/>
      <w:lvlText w:val="%8."/>
      <w:lvlJc w:val="left"/>
      <w:pPr>
        <w:ind w:left="7473" w:hanging="360"/>
      </w:pPr>
    </w:lvl>
    <w:lvl w:ilvl="8" w:tplc="0416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A0B"/>
    <w:rsid w:val="0000559A"/>
    <w:rsid w:val="00023793"/>
    <w:rsid w:val="00027E1F"/>
    <w:rsid w:val="00063BE1"/>
    <w:rsid w:val="000761F1"/>
    <w:rsid w:val="0008017E"/>
    <w:rsid w:val="00086A51"/>
    <w:rsid w:val="00097F67"/>
    <w:rsid w:val="000A1DAB"/>
    <w:rsid w:val="000A7517"/>
    <w:rsid w:val="000B03FD"/>
    <w:rsid w:val="000C4870"/>
    <w:rsid w:val="000C5DF6"/>
    <w:rsid w:val="000C6AD7"/>
    <w:rsid w:val="000D4166"/>
    <w:rsid w:val="000E4F9F"/>
    <w:rsid w:val="000F22A7"/>
    <w:rsid w:val="00102E31"/>
    <w:rsid w:val="00105201"/>
    <w:rsid w:val="00105266"/>
    <w:rsid w:val="00117E4A"/>
    <w:rsid w:val="001207F8"/>
    <w:rsid w:val="00126014"/>
    <w:rsid w:val="00171B81"/>
    <w:rsid w:val="00191A74"/>
    <w:rsid w:val="001B00AC"/>
    <w:rsid w:val="001B05C3"/>
    <w:rsid w:val="001C3D01"/>
    <w:rsid w:val="001C62DB"/>
    <w:rsid w:val="001D2D2B"/>
    <w:rsid w:val="001F0627"/>
    <w:rsid w:val="001F1212"/>
    <w:rsid w:val="001F4AEA"/>
    <w:rsid w:val="001F5FE5"/>
    <w:rsid w:val="001F75B0"/>
    <w:rsid w:val="001F7E3F"/>
    <w:rsid w:val="00200064"/>
    <w:rsid w:val="00203EE6"/>
    <w:rsid w:val="002155F4"/>
    <w:rsid w:val="00260AF6"/>
    <w:rsid w:val="0026239E"/>
    <w:rsid w:val="002A6793"/>
    <w:rsid w:val="002B59C0"/>
    <w:rsid w:val="002D0AFB"/>
    <w:rsid w:val="002D328A"/>
    <w:rsid w:val="002E35A9"/>
    <w:rsid w:val="0030229C"/>
    <w:rsid w:val="00310C27"/>
    <w:rsid w:val="00352380"/>
    <w:rsid w:val="003812D5"/>
    <w:rsid w:val="00382C3E"/>
    <w:rsid w:val="00385CEB"/>
    <w:rsid w:val="0039356A"/>
    <w:rsid w:val="003A070B"/>
    <w:rsid w:val="003E7D90"/>
    <w:rsid w:val="0040588A"/>
    <w:rsid w:val="004079BF"/>
    <w:rsid w:val="004116FC"/>
    <w:rsid w:val="0042220A"/>
    <w:rsid w:val="004355DF"/>
    <w:rsid w:val="00437D94"/>
    <w:rsid w:val="00443DA8"/>
    <w:rsid w:val="004949D2"/>
    <w:rsid w:val="004A1417"/>
    <w:rsid w:val="004A5C86"/>
    <w:rsid w:val="004A7838"/>
    <w:rsid w:val="004B35D7"/>
    <w:rsid w:val="004B7B5A"/>
    <w:rsid w:val="004C3B8F"/>
    <w:rsid w:val="004D272A"/>
    <w:rsid w:val="004D62AE"/>
    <w:rsid w:val="004D68EB"/>
    <w:rsid w:val="004F1B33"/>
    <w:rsid w:val="004F6200"/>
    <w:rsid w:val="005131E8"/>
    <w:rsid w:val="00514C4F"/>
    <w:rsid w:val="0054620E"/>
    <w:rsid w:val="00552FBB"/>
    <w:rsid w:val="00584620"/>
    <w:rsid w:val="0058577E"/>
    <w:rsid w:val="005972C1"/>
    <w:rsid w:val="005A6AFD"/>
    <w:rsid w:val="005B1A9D"/>
    <w:rsid w:val="005C67C9"/>
    <w:rsid w:val="005D5A6D"/>
    <w:rsid w:val="005E1DDA"/>
    <w:rsid w:val="005F060E"/>
    <w:rsid w:val="00605B9C"/>
    <w:rsid w:val="00650D47"/>
    <w:rsid w:val="006716EC"/>
    <w:rsid w:val="006A20FE"/>
    <w:rsid w:val="006C1908"/>
    <w:rsid w:val="006C3052"/>
    <w:rsid w:val="006D032D"/>
    <w:rsid w:val="006D1F74"/>
    <w:rsid w:val="006D38E0"/>
    <w:rsid w:val="006E4F52"/>
    <w:rsid w:val="006E5C75"/>
    <w:rsid w:val="007038CB"/>
    <w:rsid w:val="00722D6E"/>
    <w:rsid w:val="00735D5D"/>
    <w:rsid w:val="00771168"/>
    <w:rsid w:val="007726C0"/>
    <w:rsid w:val="00792C23"/>
    <w:rsid w:val="007A0BD9"/>
    <w:rsid w:val="007C6680"/>
    <w:rsid w:val="007E43B3"/>
    <w:rsid w:val="0080223C"/>
    <w:rsid w:val="00804824"/>
    <w:rsid w:val="00825B84"/>
    <w:rsid w:val="008272F2"/>
    <w:rsid w:val="00831358"/>
    <w:rsid w:val="00834ABE"/>
    <w:rsid w:val="008400F2"/>
    <w:rsid w:val="0084491E"/>
    <w:rsid w:val="00854620"/>
    <w:rsid w:val="00870D3F"/>
    <w:rsid w:val="00877632"/>
    <w:rsid w:val="00883B94"/>
    <w:rsid w:val="008B2ABB"/>
    <w:rsid w:val="008B4EC0"/>
    <w:rsid w:val="008B7851"/>
    <w:rsid w:val="008F1A27"/>
    <w:rsid w:val="009039F1"/>
    <w:rsid w:val="00906341"/>
    <w:rsid w:val="00913097"/>
    <w:rsid w:val="00920505"/>
    <w:rsid w:val="00925A94"/>
    <w:rsid w:val="00931FB8"/>
    <w:rsid w:val="009436A5"/>
    <w:rsid w:val="00943768"/>
    <w:rsid w:val="00945F3B"/>
    <w:rsid w:val="009600E9"/>
    <w:rsid w:val="00975221"/>
    <w:rsid w:val="00980154"/>
    <w:rsid w:val="00991840"/>
    <w:rsid w:val="009B7DC1"/>
    <w:rsid w:val="009B7EED"/>
    <w:rsid w:val="009C4E57"/>
    <w:rsid w:val="009C6AF4"/>
    <w:rsid w:val="009C7FE5"/>
    <w:rsid w:val="009D335F"/>
    <w:rsid w:val="009E4030"/>
    <w:rsid w:val="009F0473"/>
    <w:rsid w:val="009F04B6"/>
    <w:rsid w:val="009F2AD5"/>
    <w:rsid w:val="00A06A0B"/>
    <w:rsid w:val="00A23993"/>
    <w:rsid w:val="00A51DEC"/>
    <w:rsid w:val="00A6396E"/>
    <w:rsid w:val="00A951E4"/>
    <w:rsid w:val="00AB3033"/>
    <w:rsid w:val="00AB6D1E"/>
    <w:rsid w:val="00AC0AF3"/>
    <w:rsid w:val="00AC38FD"/>
    <w:rsid w:val="00AC45AF"/>
    <w:rsid w:val="00AC7465"/>
    <w:rsid w:val="00AD2D93"/>
    <w:rsid w:val="00AD6FD5"/>
    <w:rsid w:val="00AE71E6"/>
    <w:rsid w:val="00B031AC"/>
    <w:rsid w:val="00B37144"/>
    <w:rsid w:val="00B51BC1"/>
    <w:rsid w:val="00B57DCE"/>
    <w:rsid w:val="00BA43E5"/>
    <w:rsid w:val="00BA6201"/>
    <w:rsid w:val="00BE0728"/>
    <w:rsid w:val="00BF37C9"/>
    <w:rsid w:val="00BF67AE"/>
    <w:rsid w:val="00C04456"/>
    <w:rsid w:val="00C05F68"/>
    <w:rsid w:val="00C463A2"/>
    <w:rsid w:val="00C61C83"/>
    <w:rsid w:val="00C82DB3"/>
    <w:rsid w:val="00C92589"/>
    <w:rsid w:val="00CC24DC"/>
    <w:rsid w:val="00CC4B23"/>
    <w:rsid w:val="00CD1393"/>
    <w:rsid w:val="00CD37B7"/>
    <w:rsid w:val="00D22A2B"/>
    <w:rsid w:val="00D353CD"/>
    <w:rsid w:val="00D3785F"/>
    <w:rsid w:val="00D44966"/>
    <w:rsid w:val="00D44DB1"/>
    <w:rsid w:val="00D45C99"/>
    <w:rsid w:val="00D63237"/>
    <w:rsid w:val="00D63BD9"/>
    <w:rsid w:val="00D94B2C"/>
    <w:rsid w:val="00DA2386"/>
    <w:rsid w:val="00DA7F1A"/>
    <w:rsid w:val="00DB709D"/>
    <w:rsid w:val="00DC7A10"/>
    <w:rsid w:val="00DD4527"/>
    <w:rsid w:val="00DE2A74"/>
    <w:rsid w:val="00DF708C"/>
    <w:rsid w:val="00E02DF4"/>
    <w:rsid w:val="00E170A2"/>
    <w:rsid w:val="00E625B7"/>
    <w:rsid w:val="00E62C42"/>
    <w:rsid w:val="00E62F19"/>
    <w:rsid w:val="00E764AC"/>
    <w:rsid w:val="00E76535"/>
    <w:rsid w:val="00E76F0E"/>
    <w:rsid w:val="00E844CD"/>
    <w:rsid w:val="00E900A4"/>
    <w:rsid w:val="00E96E7E"/>
    <w:rsid w:val="00E97BEA"/>
    <w:rsid w:val="00EA357D"/>
    <w:rsid w:val="00EA4D19"/>
    <w:rsid w:val="00EB0F6F"/>
    <w:rsid w:val="00ED38E4"/>
    <w:rsid w:val="00ED6C23"/>
    <w:rsid w:val="00EE1E3D"/>
    <w:rsid w:val="00F07C91"/>
    <w:rsid w:val="00F10AAA"/>
    <w:rsid w:val="00F213EF"/>
    <w:rsid w:val="00F30D27"/>
    <w:rsid w:val="00F34C0E"/>
    <w:rsid w:val="00F40B2D"/>
    <w:rsid w:val="00F55E59"/>
    <w:rsid w:val="00F65B0A"/>
    <w:rsid w:val="00F75393"/>
    <w:rsid w:val="00F86379"/>
    <w:rsid w:val="00FD47C4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E52A710F-8D71-498D-8E22-3D2028B9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A7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uiPriority w:val="99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F22A7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0F22A7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0F22A7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F22A7"/>
    <w:rPr>
      <w:rFonts w:ascii="Arial" w:hAnsi="Arial" w:cs="Arial"/>
      <w:sz w:val="22"/>
      <w:szCs w:val="22"/>
    </w:rPr>
  </w:style>
  <w:style w:type="paragraph" w:styleId="Corpodetexto">
    <w:name w:val="Body Text"/>
    <w:basedOn w:val="Normal"/>
    <w:link w:val="CorpodetextoChar"/>
    <w:rsid w:val="000F22A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F22A7"/>
  </w:style>
  <w:style w:type="paragraph" w:styleId="PargrafodaLista">
    <w:name w:val="List Paragraph"/>
    <w:basedOn w:val="Normal"/>
    <w:uiPriority w:val="34"/>
    <w:qFormat/>
    <w:rsid w:val="00063BE1"/>
    <w:pPr>
      <w:ind w:left="720"/>
      <w:contextualSpacing/>
    </w:pPr>
  </w:style>
  <w:style w:type="paragraph" w:styleId="Corpodetexto3">
    <w:name w:val="Body Text 3"/>
    <w:basedOn w:val="Normal"/>
    <w:link w:val="Corpodetexto3Char"/>
    <w:semiHidden/>
    <w:unhideWhenUsed/>
    <w:rsid w:val="00F55E5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55E59"/>
    <w:rPr>
      <w:sz w:val="16"/>
      <w:szCs w:val="16"/>
    </w:rPr>
  </w:style>
  <w:style w:type="character" w:customStyle="1" w:styleId="fontstyle01">
    <w:name w:val="fontstyle01"/>
    <w:basedOn w:val="Fontepargpadro"/>
    <w:rsid w:val="00F10AAA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F10AAA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RodapChar">
    <w:name w:val="Rodapé Char"/>
    <w:basedOn w:val="Fontepargpadro"/>
    <w:link w:val="Rodap"/>
    <w:rsid w:val="005F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3ADA-96E6-4A00-A479-39EC15CA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2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105</cp:revision>
  <cp:lastPrinted>2019-11-18T16:24:00Z</cp:lastPrinted>
  <dcterms:created xsi:type="dcterms:W3CDTF">2013-11-08T13:16:00Z</dcterms:created>
  <dcterms:modified xsi:type="dcterms:W3CDTF">2019-11-18T16:27:00Z</dcterms:modified>
</cp:coreProperties>
</file>